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7A8C"/>
          <w:sz w:val="24"/>
        </w:rPr>
        <w:t>SECRET CUSTOMER ACADEMY</w:t>
      </w:r>
    </w:p>
    <w:p>
      <w:pPr>
        <w:spacing w:before="680"/>
        <w:jc w:val="center"/>
      </w:pPr>
      <w:r>
        <w:rPr>
          <w:b/>
          <w:color w:val="2F75B5"/>
          <w:sz w:val="28"/>
        </w:rPr>
        <w:t>MG-001</w:t>
      </w:r>
    </w:p>
    <w:p>
      <w:pPr>
        <w:pStyle w:val="Title"/>
        <w:jc w:val="center"/>
      </w:pPr>
      <w:r>
        <w:t>What is Mystery Shopping?</w:t>
      </w:r>
    </w:p>
    <w:p>
      <w:pPr>
        <w:jc w:val="center"/>
      </w:pPr>
      <w:r>
        <w:rPr>
          <w:i/>
          <w:color w:val="5B6573"/>
          <w:sz w:val="28"/>
        </w:rPr>
        <w:t>A practical guide to understanding mystery shopping, what it measures and where it adds value</w:t>
      </w:r>
    </w:p>
    <w:p/>
    <w:tbl>
      <w:tblPr>
        <w:tblW w:type="auto" w:w="0"/>
        <w:jc w:val="center"/>
        <w:tblLayout w:type="fixed"/>
        <w:tblLook w:firstColumn="1" w:firstRow="1" w:lastColumn="0" w:lastRow="0" w:noHBand="0" w:noVBand="1" w:val="04A0"/>
      </w:tblPr>
      <w:tblGrid>
        <w:gridCol w:w="2448"/>
        <w:gridCol w:w="5616"/>
      </w:tblGrid>
      <w:tr>
        <w:tc>
          <w:tcPr>
            <w:tcW w:type="dxa" w:w="4939"/>
            <w:shd w:fill="17365D"/>
            <w:tcMar>
              <w:top w:w="120" w:type="dxa"/>
              <w:start w:w="140" w:type="dxa"/>
              <w:bottom w:w="120" w:type="dxa"/>
              <w:end w:w="140" w:type="dxa"/>
            </w:tcMar>
            <w:vAlign w:val="center"/>
          </w:tcPr>
          <w:p>
            <w:r>
              <w:rPr>
                <w:b/>
                <w:color w:val="FFFFFF"/>
              </w:rPr>
              <w:t>Series</w:t>
            </w:r>
          </w:p>
        </w:tc>
        <w:tc>
          <w:tcPr>
            <w:tcW w:type="dxa" w:w="4939"/>
            <w:shd w:fill="F3F6F9"/>
            <w:tcMar>
              <w:top w:w="120" w:type="dxa"/>
              <w:start w:w="140" w:type="dxa"/>
              <w:bottom w:w="120" w:type="dxa"/>
              <w:end w:w="140" w:type="dxa"/>
            </w:tcMar>
            <w:vAlign w:val="center"/>
          </w:tcPr>
          <w:p>
            <w:r>
              <w:t>08.01 Mystery Shopping Fundamentals</w:t>
            </w:r>
          </w:p>
        </w:tc>
      </w:tr>
      <w:tr>
        <w:tc>
          <w:tcPr>
            <w:tcW w:type="dxa" w:w="4939"/>
            <w:shd w:fill="17365D"/>
            <w:tcMar>
              <w:top w:w="120" w:type="dxa"/>
              <w:start w:w="140" w:type="dxa"/>
              <w:bottom w:w="120" w:type="dxa"/>
              <w:end w:w="140" w:type="dxa"/>
            </w:tcMar>
            <w:vAlign w:val="center"/>
          </w:tcPr>
          <w:p>
            <w:r>
              <w:rPr>
                <w:b/>
                <w:color w:val="FFFFFF"/>
              </w:rPr>
              <w:t>Version</w:t>
            </w:r>
          </w:p>
        </w:tc>
        <w:tc>
          <w:tcPr>
            <w:tcW w:type="dxa" w:w="4939"/>
            <w:shd w:fill="F3F6F9"/>
            <w:tcMar>
              <w:top w:w="120" w:type="dxa"/>
              <w:start w:w="140" w:type="dxa"/>
              <w:bottom w:w="120" w:type="dxa"/>
              <w:end w:w="140" w:type="dxa"/>
            </w:tcMar>
            <w:vAlign w:val="center"/>
          </w:tcPr>
          <w:p>
            <w:r>
              <w:t>1.0 Approved</w:t>
            </w:r>
          </w:p>
        </w:tc>
      </w:tr>
      <w:tr>
        <w:tc>
          <w:tcPr>
            <w:tcW w:type="dxa" w:w="4939"/>
            <w:shd w:fill="17365D"/>
            <w:tcMar>
              <w:top w:w="120" w:type="dxa"/>
              <w:start w:w="140" w:type="dxa"/>
              <w:bottom w:w="120" w:type="dxa"/>
              <w:end w:w="140" w:type="dxa"/>
            </w:tcMar>
            <w:vAlign w:val="center"/>
          </w:tcPr>
          <w:p>
            <w:r>
              <w:rPr>
                <w:b/>
                <w:color w:val="FFFFFF"/>
              </w:rPr>
              <w:t>Publication date</w:t>
            </w:r>
          </w:p>
        </w:tc>
        <w:tc>
          <w:tcPr>
            <w:tcW w:type="dxa" w:w="4939"/>
            <w:shd w:fill="F3F6F9"/>
            <w:tcMar>
              <w:top w:w="120" w:type="dxa"/>
              <w:start w:w="140" w:type="dxa"/>
              <w:bottom w:w="120" w:type="dxa"/>
              <w:end w:w="140" w:type="dxa"/>
            </w:tcMar>
            <w:vAlign w:val="center"/>
          </w:tcPr>
          <w:p>
            <w:r>
              <w:t>July 2026</w:t>
            </w:r>
          </w:p>
        </w:tc>
      </w:tr>
      <w:tr>
        <w:tc>
          <w:tcPr>
            <w:tcW w:type="dxa" w:w="4939"/>
            <w:shd w:fill="17365D"/>
            <w:tcMar>
              <w:top w:w="120" w:type="dxa"/>
              <w:start w:w="140" w:type="dxa"/>
              <w:bottom w:w="120" w:type="dxa"/>
              <w:end w:w="140" w:type="dxa"/>
            </w:tcMar>
            <w:vAlign w:val="center"/>
          </w:tcPr>
          <w:p>
            <w:r>
              <w:rPr>
                <w:b/>
                <w:color w:val="FFFFFF"/>
              </w:rPr>
              <w:t>Publisher</w:t>
            </w:r>
          </w:p>
        </w:tc>
        <w:tc>
          <w:tcPr>
            <w:tcW w:type="dxa" w:w="4939"/>
            <w:shd w:fill="F3F6F9"/>
            <w:tcMar>
              <w:top w:w="120" w:type="dxa"/>
              <w:start w:w="140" w:type="dxa"/>
              <w:bottom w:w="120" w:type="dxa"/>
              <w:end w:w="140" w:type="dxa"/>
            </w:tcMar>
            <w:vAlign w:val="center"/>
          </w:tcPr>
          <w:p>
            <w:r>
              <w:t>Secret Customer Australia</w:t>
            </w:r>
          </w:p>
        </w:tc>
      </w:tr>
    </w:tbl>
    <w:p>
      <w:pPr>
        <w:spacing w:before="560"/>
        <w:jc w:val="center"/>
      </w:pPr>
      <w:r>
        <w:rPr>
          <w:b/>
          <w:color w:val="1F7A8C"/>
          <w:sz w:val="22"/>
        </w:rPr>
        <w:t>Approved Public Content</w:t>
      </w:r>
    </w:p>
    <w:p>
      <w:pPr>
        <w:pStyle w:val="SmallText"/>
        <w:jc w:val="center"/>
      </w:pPr>
      <w:r>
        <w:t>Educational guidance only. It is not legal advice and should be adapted to the organisation, industry and jurisdiction.</w:t>
      </w:r>
    </w:p>
    <w:p>
      <w:r>
        <w:br w:type="page"/>
      </w:r>
    </w:p>
    <w:p>
      <w:pPr>
        <w:pStyle w:val="Heading1"/>
      </w:pPr>
      <w:r>
        <w:t>Executive summary</w:t>
      </w:r>
    </w:p>
    <w:p>
      <w:r>
        <w:t>Mystery shopping is a structured research and operational-improvement method in which trained evaluators follow realistic customer scenarios and record observable evidence against agreed standards. Used well, it helps organisations understand whether intended service behaviours are actually delivered across locations, channels and customer journeys.</w:t>
      </w:r>
    </w:p>
    <w:tbl>
      <w:tblPr>
        <w:tblW w:type="auto" w:w="0"/>
        <w:jc w:val="center"/>
        <w:tblLayout w:type="fixed"/>
        <w:tblLook w:firstColumn="1" w:firstRow="1" w:lastColumn="0" w:lastRow="0" w:noHBand="0" w:noVBand="1" w:val="04A0"/>
      </w:tblPr>
      <w:tblGrid>
        <w:gridCol w:w="9432"/>
      </w:tblGrid>
      <w:tr>
        <w:tc>
          <w:tcPr>
            <w:tcW w:type="dxa" w:w="9878"/>
            <w:shd w:fill="EAF2F8"/>
            <w:tcMar>
              <w:top w:w="180" w:type="dxa"/>
              <w:start w:w="220" w:type="dxa"/>
              <w:bottom w:w="180" w:type="dxa"/>
              <w:end w:w="220" w:type="dxa"/>
            </w:tcMar>
          </w:tcPr>
          <w:p>
            <w:r>
              <w:rPr>
                <w:b/>
                <w:color w:val="17365D"/>
                <w:sz w:val="22"/>
              </w:rPr>
              <w:t>Direct answer</w:t>
              <w:br/>
            </w:r>
            <w:r>
              <w:rPr>
                <w:sz w:val="20"/>
              </w:rPr>
              <w:t>Mystery shopping is a structured research and operational-improvement method in which trained evaluators follow realistic customer scenarios and record observable evidence against agreed standards. Used well, it helps organisations understand whether intended service behaviours are actually delivered across locations, channels and customer journeys.</w:t>
            </w:r>
          </w:p>
        </w:tc>
      </w:tr>
    </w:tbl>
    <w:p>
      <w:pPr>
        <w:spacing w:after="20"/>
      </w:pPr>
    </w:p>
    <w:p>
      <w:pPr>
        <w:pStyle w:val="Heading2"/>
      </w:pPr>
      <w:r>
        <w:t>Who this guide is for</w:t>
      </w:r>
    </w:p>
    <w:p>
      <w:pPr>
        <w:pStyle w:val="ListBullet"/>
      </w:pPr>
      <w:r>
        <w:t>Business leaders considering mystery shopping</w:t>
      </w:r>
    </w:p>
    <w:p>
      <w:pPr>
        <w:pStyle w:val="ListBullet"/>
      </w:pPr>
      <w:r>
        <w:t>Customer experience, operations, learning and development, and risk teams</w:t>
      </w:r>
    </w:p>
    <w:p>
      <w:pPr>
        <w:pStyle w:val="ListBullet"/>
      </w:pPr>
      <w:r>
        <w:t>Procurement professionals evaluating service providers</w:t>
      </w:r>
    </w:p>
    <w:p>
      <w:pPr>
        <w:pStyle w:val="ListBullet"/>
      </w:pPr>
      <w:r>
        <w:t>Managers who receive or act on mystery shopping results</w:t>
      </w:r>
    </w:p>
    <w:p>
      <w:pPr>
        <w:pStyle w:val="Heading2"/>
      </w:pPr>
      <w:r>
        <w:t>Key terms</w:t>
      </w:r>
    </w:p>
    <w:tbl>
      <w:tblPr>
        <w:tblW w:type="auto" w:w="0"/>
        <w:jc w:val="center"/>
        <w:tblLayout w:type="fixed"/>
        <w:tblLook w:firstColumn="1" w:firstRow="1" w:lastColumn="0" w:lastRow="0" w:noHBand="0" w:noVBand="1" w:val="04A0"/>
      </w:tblPr>
      <w:tblGrid>
        <w:gridCol w:w="2232"/>
        <w:gridCol w:w="7200"/>
      </w:tblGrid>
      <w:tr>
        <w:trPr>
          <w:tblHeader w:val="true"/>
        </w:trPr>
        <w:tc>
          <w:tcPr>
            <w:tcW w:type="dxa" w:w="4939"/>
            <w:shd w:fill="17365D"/>
          </w:tcPr>
          <w:p>
            <w:r>
              <w:rPr>
                <w:b/>
                <w:color w:val="FFFFFF"/>
              </w:rPr>
              <w:t>Term</w:t>
            </w:r>
          </w:p>
        </w:tc>
        <w:tc>
          <w:tcPr>
            <w:tcW w:type="dxa" w:w="4939"/>
            <w:shd w:fill="17365D"/>
          </w:tcPr>
          <w:p>
            <w:r>
              <w:rPr>
                <w:b/>
                <w:color w:val="FFFFFF"/>
              </w:rPr>
              <w:t>Meaning</w:t>
            </w:r>
          </w:p>
        </w:tc>
      </w:tr>
      <w:tr>
        <w:tc>
          <w:tcPr>
            <w:tcW w:type="dxa" w:w="2232"/>
            <w:tcMar>
              <w:top w:w="120" w:type="dxa"/>
              <w:start w:w="140" w:type="dxa"/>
              <w:bottom w:w="120" w:type="dxa"/>
              <w:end w:w="140" w:type="dxa"/>
            </w:tcMar>
            <w:vAlign w:val="center"/>
          </w:tcPr>
          <w:p>
            <w:r>
              <w:t>Mystery shopper</w:t>
            </w:r>
          </w:p>
        </w:tc>
        <w:tc>
          <w:tcPr>
            <w:tcW w:type="dxa" w:w="7200"/>
            <w:tcMar>
              <w:top w:w="120" w:type="dxa"/>
              <w:start w:w="140" w:type="dxa"/>
              <w:bottom w:w="120" w:type="dxa"/>
              <w:end w:w="140" w:type="dxa"/>
            </w:tcMar>
            <w:vAlign w:val="center"/>
          </w:tcPr>
          <w:p>
            <w:r>
              <w:t>A trained evaluator who completes a defined customer scenario and records evidence.</w:t>
            </w:r>
          </w:p>
        </w:tc>
      </w:tr>
      <w:tr>
        <w:tc>
          <w:tcPr>
            <w:tcW w:type="dxa" w:w="2232"/>
            <w:tcMar>
              <w:top w:w="120" w:type="dxa"/>
              <w:start w:w="140" w:type="dxa"/>
              <w:bottom w:w="120" w:type="dxa"/>
              <w:end w:w="140" w:type="dxa"/>
            </w:tcMar>
            <w:vAlign w:val="center"/>
          </w:tcPr>
          <w:p>
            <w:r>
              <w:t>Scenario</w:t>
            </w:r>
          </w:p>
        </w:tc>
        <w:tc>
          <w:tcPr>
            <w:tcW w:type="dxa" w:w="7200"/>
            <w:tcMar>
              <w:top w:w="120" w:type="dxa"/>
              <w:start w:w="140" w:type="dxa"/>
              <w:bottom w:w="120" w:type="dxa"/>
              <w:end w:w="140" w:type="dxa"/>
            </w:tcMar>
            <w:vAlign w:val="center"/>
          </w:tcPr>
          <w:p>
            <w:r>
              <w:t>The realistic customer need, actions and boundaries used during the assessment.</w:t>
            </w:r>
          </w:p>
        </w:tc>
      </w:tr>
      <w:tr>
        <w:tc>
          <w:tcPr>
            <w:tcW w:type="dxa" w:w="2232"/>
            <w:tcMar>
              <w:top w:w="120" w:type="dxa"/>
              <w:start w:w="140" w:type="dxa"/>
              <w:bottom w:w="120" w:type="dxa"/>
              <w:end w:w="140" w:type="dxa"/>
            </w:tcMar>
            <w:vAlign w:val="center"/>
          </w:tcPr>
          <w:p>
            <w:r>
              <w:t>Assessment instrument</w:t>
            </w:r>
          </w:p>
        </w:tc>
        <w:tc>
          <w:tcPr>
            <w:tcW w:type="dxa" w:w="7200"/>
            <w:tcMar>
              <w:top w:w="120" w:type="dxa"/>
              <w:start w:w="140" w:type="dxa"/>
              <w:bottom w:w="120" w:type="dxa"/>
              <w:end w:w="140" w:type="dxa"/>
            </w:tcMar>
            <w:vAlign w:val="center"/>
          </w:tcPr>
          <w:p>
            <w:r>
              <w:t>The questionnaire, evidence requirements and scoring rules used to capture results.</w:t>
            </w:r>
          </w:p>
        </w:tc>
      </w:tr>
      <w:tr>
        <w:tc>
          <w:tcPr>
            <w:tcW w:type="dxa" w:w="2232"/>
            <w:tcMar>
              <w:top w:w="120" w:type="dxa"/>
              <w:start w:w="140" w:type="dxa"/>
              <w:bottom w:w="120" w:type="dxa"/>
              <w:end w:w="140" w:type="dxa"/>
            </w:tcMar>
            <w:vAlign w:val="center"/>
          </w:tcPr>
          <w:p>
            <w:r>
              <w:t>Programme</w:t>
            </w:r>
          </w:p>
        </w:tc>
        <w:tc>
          <w:tcPr>
            <w:tcW w:type="dxa" w:w="7200"/>
            <w:tcMar>
              <w:top w:w="120" w:type="dxa"/>
              <w:start w:w="140" w:type="dxa"/>
              <w:bottom w:w="120" w:type="dxa"/>
              <w:end w:w="140" w:type="dxa"/>
            </w:tcMar>
            <w:vAlign w:val="center"/>
          </w:tcPr>
          <w:p>
            <w:r>
              <w:t>The complete design, fieldwork, quality assurance, reporting and improvement cycle.</w:t>
            </w:r>
          </w:p>
        </w:tc>
      </w:tr>
    </w:tbl>
    <w:p>
      <w:r>
        <w:br w:type="page"/>
      </w:r>
    </w:p>
    <w:p>
      <w:pPr>
        <w:pStyle w:val="Heading1"/>
      </w:pPr>
      <w:r>
        <w:t>Contents</w:t>
      </w:r>
    </w:p>
    <w:p>
      <w:pPr>
        <w:pStyle w:val="ListNumber"/>
      </w:pPr>
      <w:r>
        <w:t>1. Mystery shopping in one sentence</w:t>
      </w:r>
    </w:p>
    <w:p>
      <w:pPr>
        <w:pStyle w:val="ListNumber"/>
      </w:pPr>
      <w:r>
        <w:t>2. What mystery shopping measures</w:t>
      </w:r>
    </w:p>
    <w:p>
      <w:pPr>
        <w:pStyle w:val="ListNumber"/>
      </w:pPr>
      <w:r>
        <w:t>3. What mystery shopping does not measure</w:t>
      </w:r>
    </w:p>
    <w:p>
      <w:pPr>
        <w:pStyle w:val="ListNumber"/>
      </w:pPr>
      <w:r>
        <w:t>4. The anatomy of a mystery shop</w:t>
      </w:r>
    </w:p>
    <w:p>
      <w:pPr>
        <w:pStyle w:val="ListNumber"/>
      </w:pPr>
      <w:r>
        <w:t>5. Objective evidence and professional judgement</w:t>
      </w:r>
    </w:p>
    <w:p>
      <w:pPr>
        <w:pStyle w:val="ListNumber"/>
      </w:pPr>
      <w:r>
        <w:t>6. Common applications</w:t>
      </w:r>
    </w:p>
    <w:p>
      <w:pPr>
        <w:pStyle w:val="ListNumber"/>
      </w:pPr>
      <w:r>
        <w:t>7. How results should be used</w:t>
      </w:r>
    </w:p>
    <w:p>
      <w:pPr>
        <w:pStyle w:val="ListNumber"/>
      </w:pPr>
      <w:r>
        <w:t>8. Frequently asked questions</w:t>
      </w:r>
    </w:p>
    <w:p>
      <w:pPr>
        <w:pStyle w:val="ListNumber"/>
      </w:pPr>
      <w:r>
        <w:t>9. Key takeaways</w:t>
      </w:r>
    </w:p>
    <w:p>
      <w:pPr>
        <w:pStyle w:val="ListNumber"/>
      </w:pPr>
      <w:r>
        <w:t>10. Related guides and references</w:t>
      </w:r>
    </w:p>
    <w:p>
      <w:r>
        <w:br w:type="page"/>
      </w:r>
    </w:p>
    <w:p>
      <w:pPr>
        <w:pStyle w:val="Heading1"/>
      </w:pPr>
      <w:r>
        <w:t>1. Mystery shopping in one sentence</w:t>
      </w:r>
    </w:p>
    <w:p>
      <w:r>
        <w:t>Mystery shopping is a planned assessment of a customer experience, completed by a trained evaluator who follows a defined scenario and reports what happened against pre-agreed criteria.</w:t>
      </w:r>
    </w:p>
    <w:p>
      <w:r>
        <w:t>The emphasis is on observable behaviour and evidence. A strong programme does not ask whether a shopper “liked” an employee; it asks whether the employee acknowledged the customer, explored needs, explained relevant options and confirmed next steps.</w:t>
      </w:r>
    </w:p>
    <w:p>
      <w:pPr>
        <w:pStyle w:val="Heading1"/>
      </w:pPr>
      <w:r>
        <w:t>2. What mystery shopping measures</w:t>
      </w:r>
    </w:p>
    <w:p>
      <w:r>
        <w:t>Mystery shopping can measure service delivery, sales behaviours, enquiry handling, presentation, accessibility, compliance-related behaviours, follow-up and channel consistency. It can be used in stores, contact centres, websites, live chat, email, property sales, hospitality, automotive, banking and many other service environments.</w:t>
      </w:r>
    </w:p>
    <w:p>
      <w:r>
        <w:t>It is particularly useful when an organisation has standards that should be delivered consistently but cannot be understood from transaction data alone.</w:t>
      </w:r>
    </w:p>
    <w:tbl>
      <w:tblPr>
        <w:tblW w:type="auto" w:w="0"/>
        <w:jc w:val="center"/>
        <w:tblLayout w:type="fixed"/>
        <w:tblLook w:firstColumn="1" w:firstRow="1" w:lastColumn="0" w:lastRow="0" w:noHBand="0" w:noVBand="1" w:val="04A0"/>
      </w:tblPr>
      <w:tblGrid>
        <w:gridCol w:w="9432"/>
      </w:tblGrid>
      <w:tr>
        <w:tc>
          <w:tcPr>
            <w:tcW w:type="dxa" w:w="9878"/>
            <w:shd w:fill="EAF2F8"/>
            <w:tcMar>
              <w:top w:w="180" w:type="dxa"/>
              <w:start w:w="220" w:type="dxa"/>
              <w:bottom w:w="180" w:type="dxa"/>
              <w:end w:w="220" w:type="dxa"/>
            </w:tcMar>
          </w:tcPr>
          <w:p>
            <w:r>
              <w:rPr>
                <w:b/>
                <w:color w:val="17365D"/>
                <w:sz w:val="22"/>
              </w:rPr>
              <w:t>Practical principle</w:t>
              <w:br/>
            </w:r>
            <w:r>
              <w:rPr>
                <w:sz w:val="20"/>
              </w:rPr>
              <w:t>Use mystery shopping as one part of an evidence system. Combine it with customer, employee and operational data before making major decisions.</w:t>
            </w:r>
          </w:p>
        </w:tc>
      </w:tr>
    </w:tbl>
    <w:p>
      <w:pPr>
        <w:spacing w:after="20"/>
      </w:pPr>
    </w:p>
    <w:p>
      <w:pPr>
        <w:pStyle w:val="Heading1"/>
      </w:pPr>
      <w:r>
        <w:t>3. What mystery shopping does not measure</w:t>
      </w:r>
    </w:p>
    <w:p>
      <w:r>
        <w:t>Mystery shopping is not a substitute for a customer satisfaction survey, employee engagement study, operational audit or legal compliance investigation. It observes a specific interaction under controlled conditions. It does not, by itself, reveal what all customers think or prove why an individual behaved in a particular way.</w:t>
      </w:r>
    </w:p>
    <w:p>
      <w:r>
        <w:t>The most reliable decisions come from triangulating mystery shopping with customer feedback, complaints, operational data, training records and other evidence.</w:t>
      </w:r>
    </w:p>
    <w:p>
      <w:pPr>
        <w:pStyle w:val="Heading1"/>
      </w:pPr>
      <w:r>
        <w:t>4. The anatomy of a mystery shop</w:t>
      </w:r>
    </w:p>
    <w:p>
      <w:r>
        <w:t>A typical mystery shop contains six elements: a business question, a realistic scenario, an assessment instrument, a trained shopper, evidence and quality assurance. Each element matters. A weak scenario or vague questionnaire can undermine the usefulness of otherwise accurate fieldwork.</w:t>
      </w:r>
    </w:p>
    <w:p>
      <w:r>
        <w:t>The best programmes start with the decision the client needs to make, then design the fieldwork around that decision.</w:t>
      </w:r>
    </w:p>
    <w:p>
      <w:pPr>
        <w:pStyle w:val="Heading1"/>
      </w:pPr>
      <w:r>
        <w:t>5. Objective evidence and professional judgement</w:t>
      </w:r>
    </w:p>
    <w:p>
      <w:r>
        <w:t>Objective evidence records what was seen, heard or received. Professional judgement interprets that evidence against an agreed standard. Both are useful, but they should not be confused.</w:t>
      </w:r>
    </w:p>
    <w:p>
      <w:r>
        <w:t>For example, “the consultant asked two questions about my needs” is evidence. “The consultant built strong rapport” is an assessment that should be supported by behavioural anchors.</w:t>
      </w:r>
    </w:p>
    <w:tbl>
      <w:tblPr>
        <w:tblW w:type="auto" w:w="0"/>
        <w:jc w:val="center"/>
        <w:tblLayout w:type="fixed"/>
        <w:tblLook w:firstColumn="1" w:firstRow="1" w:lastColumn="0" w:lastRow="0" w:noHBand="0" w:noVBand="1" w:val="04A0"/>
      </w:tblPr>
      <w:tblGrid>
        <w:gridCol w:w="9432"/>
      </w:tblGrid>
      <w:tr>
        <w:tc>
          <w:tcPr>
            <w:tcW w:type="dxa" w:w="9878"/>
            <w:shd w:fill="EAF2F8"/>
            <w:tcMar>
              <w:top w:w="180" w:type="dxa"/>
              <w:start w:w="220" w:type="dxa"/>
              <w:bottom w:w="180" w:type="dxa"/>
              <w:end w:w="220" w:type="dxa"/>
            </w:tcMar>
          </w:tcPr>
          <w:p>
            <w:r>
              <w:rPr>
                <w:b/>
                <w:color w:val="17365D"/>
                <w:sz w:val="22"/>
              </w:rPr>
              <w:t>Practical principle</w:t>
              <w:br/>
            </w:r>
            <w:r>
              <w:rPr>
                <w:sz w:val="20"/>
              </w:rPr>
              <w:t>Use mystery shopping as one part of an evidence system. Combine it with customer, employee and operational data before making major decisions.</w:t>
            </w:r>
          </w:p>
        </w:tc>
      </w:tr>
    </w:tbl>
    <w:p>
      <w:pPr>
        <w:spacing w:after="20"/>
      </w:pPr>
    </w:p>
    <w:p>
      <w:pPr>
        <w:pStyle w:val="Heading1"/>
      </w:pPr>
      <w:r>
        <w:t>6. Common applications</w:t>
      </w:r>
    </w:p>
    <w:p>
      <w:r>
        <w:t>Organisations use mystery shopping to test whether training is being applied, compare locations, understand competitor experiences, measure enquiry conversion behaviours, monitor service standards and identify coaching priorities.</w:t>
      </w:r>
    </w:p>
    <w:p>
      <w:r>
        <w:t>A well-designed programme can also reveal gaps between policy and practice: what leaders believe happens, what procedures say should happen and what customers actually experience.</w:t>
      </w:r>
    </w:p>
    <w:p>
      <w:pPr>
        <w:pStyle w:val="Heading1"/>
      </w:pPr>
      <w:r>
        <w:t>7. How results should be used</w:t>
      </w:r>
    </w:p>
    <w:p>
      <w:r>
        <w:t>Mystery shopping should support improvement, not create fear. Results are most useful when they identify patterns, explain likely business implications and lead to specific actions. Isolated visits should be interpreted carefully, particularly where results may affect individual employees.</w:t>
      </w:r>
    </w:p>
    <w:p>
      <w:r>
        <w:t>Good reporting separates facts, analysis and recommendations, and clearly states sample limitations.</w:t>
      </w:r>
    </w:p>
    <w:p>
      <w:pPr>
        <w:pStyle w:val="Heading1"/>
      </w:pPr>
      <w:r>
        <w:t>8. Frequently asked questions</w:t>
      </w:r>
    </w:p>
    <w:p>
      <w:r>
        <w:t>Is mystery shopping legal? In Australia, lawful use depends on programme design, privacy, recording, workplace and consumer-law considerations. Organisations should obtain appropriate legal advice for higher-risk activities.</w:t>
      </w:r>
    </w:p>
    <w:p>
      <w:r>
        <w:t>Do shoppers have to buy something? Not always. Some scenarios involve an enquiry only; others require a purchase, return, appointment or follow-up.</w:t>
      </w:r>
    </w:p>
    <w:p>
      <w:r>
        <w:t>Can mystery shopping be conducted online? Yes. Email, web forms, live chat, social media, apps and digital onboarding can all be assessed.</w:t>
      </w:r>
    </w:p>
    <w:tbl>
      <w:tblPr>
        <w:tblW w:type="auto" w:w="0"/>
        <w:jc w:val="center"/>
        <w:tblLayout w:type="fixed"/>
        <w:tblLook w:firstColumn="1" w:firstRow="1" w:lastColumn="0" w:lastRow="0" w:noHBand="0" w:noVBand="1" w:val="04A0"/>
      </w:tblPr>
      <w:tblGrid>
        <w:gridCol w:w="9432"/>
      </w:tblGrid>
      <w:tr>
        <w:tc>
          <w:tcPr>
            <w:tcW w:type="dxa" w:w="9878"/>
            <w:shd w:fill="EAF2F8"/>
            <w:tcMar>
              <w:top w:w="180" w:type="dxa"/>
              <w:start w:w="220" w:type="dxa"/>
              <w:bottom w:w="180" w:type="dxa"/>
              <w:end w:w="220" w:type="dxa"/>
            </w:tcMar>
          </w:tcPr>
          <w:p>
            <w:r>
              <w:rPr>
                <w:b/>
                <w:color w:val="17365D"/>
                <w:sz w:val="22"/>
              </w:rPr>
              <w:t>Practical principle</w:t>
              <w:br/>
            </w:r>
            <w:r>
              <w:rPr>
                <w:sz w:val="20"/>
              </w:rPr>
              <w:t>Use mystery shopping as one part of an evidence system. Combine it with customer, employee and operational data before making major decisions.</w:t>
            </w:r>
          </w:p>
        </w:tc>
      </w:tr>
    </w:tbl>
    <w:p>
      <w:pPr>
        <w:spacing w:after="20"/>
      </w:pPr>
    </w:p>
    <w:p>
      <w:pPr>
        <w:pStyle w:val="Heading1"/>
      </w:pPr>
      <w:r>
        <w:t>Key takeaways</w:t>
      </w:r>
    </w:p>
    <w:p>
      <w:pPr>
        <w:pStyle w:val="ListBullet"/>
      </w:pPr>
      <w:r>
        <w:t>Mystery shopping measures delivered behaviour, not broad customer sentiment.</w:t>
      </w:r>
    </w:p>
    <w:p>
      <w:pPr>
        <w:pStyle w:val="ListBullet"/>
      </w:pPr>
      <w:r>
        <w:t>Strong programmes use realistic scenarios, observable questions and disciplined quality assurance.</w:t>
      </w:r>
    </w:p>
    <w:p>
      <w:pPr>
        <w:pStyle w:val="ListBullet"/>
      </w:pPr>
      <w:r>
        <w:t>Results should be interpreted alongside other evidence and used to support improvement.</w:t>
      </w:r>
    </w:p>
    <w:p>
      <w:pPr>
        <w:pStyle w:val="Heading2"/>
      </w:pPr>
      <w:r>
        <w:t>A practical checklist</w:t>
      </w:r>
    </w:p>
    <w:p>
      <w:r>
        <w:t>☐ The business question is clear.</w:t>
      </w:r>
    </w:p>
    <w:p>
      <w:r>
        <w:t>☐ The scenario is realistic and safe.</w:t>
      </w:r>
    </w:p>
    <w:p>
      <w:r>
        <w:t>☐ Questions use observable language.</w:t>
      </w:r>
    </w:p>
    <w:p>
      <w:r>
        <w:t>☐ Shoppers are suitable and properly briefed.</w:t>
      </w:r>
    </w:p>
    <w:p>
      <w:r>
        <w:t>☐ Evidence and reports are quality-checked.</w:t>
      </w:r>
    </w:p>
    <w:p>
      <w:r>
        <w:t>☐ Results are interpreted with limitations.</w:t>
      </w:r>
    </w:p>
    <w:p>
      <w:r>
        <w:t>☐ Actions, owners and review dates are agreed.</w:t>
      </w:r>
    </w:p>
    <w:p>
      <w:pPr>
        <w:pStyle w:val="Heading1"/>
      </w:pPr>
      <w:r>
        <w:t>Related Master Guides</w:t>
      </w:r>
    </w:p>
    <w:p>
      <w:pPr>
        <w:pStyle w:val="ListBullet"/>
      </w:pPr>
      <w:r>
        <w:t>MG-002 - Benefits of Mystery Shopping</w:t>
      </w:r>
    </w:p>
    <w:p>
      <w:pPr>
        <w:pStyle w:val="ListBullet"/>
      </w:pPr>
      <w:r>
        <w:t>MG-003 - How Mystery Shopping Works</w:t>
      </w:r>
    </w:p>
    <w:p>
      <w:pPr>
        <w:pStyle w:val="ListBullet"/>
      </w:pPr>
      <w:r>
        <w:t>MG-004 - Myths About Mystery Shopping</w:t>
      </w:r>
    </w:p>
    <w:p>
      <w:pPr>
        <w:pStyle w:val="ListBullet"/>
      </w:pPr>
      <w:r>
        <w:t>MG-005 - Choosing a Mystery Shopping Provider</w:t>
      </w:r>
    </w:p>
    <w:p>
      <w:pPr>
        <w:pStyle w:val="Heading1"/>
      </w:pPr>
      <w:r>
        <w:t>References and source notes</w:t>
      </w:r>
    </w:p>
    <w:p>
      <w:r>
        <w:t>This guide combines established research-quality principles, Australian regulatory guidance and Secret Customer’s documented professional methodology. References are provided for verification and further reading.</w:t>
      </w:r>
    </w:p>
    <w:p>
      <w:r>
        <w:rPr>
          <w:b/>
        </w:rPr>
        <w:t xml:space="preserve">International Organization for Standardization (ISO): </w:t>
      </w:r>
      <w:r>
        <w:t>ISO 20252:2019 - Market, opinion and social research, including insights and data analytics - Vocabulary and service requirements. ISO notes that a fourth edition is under development in 2026.</w:t>
      </w:r>
    </w:p>
    <w:p>
      <w:r>
        <w:rPr>
          <w:b/>
        </w:rPr>
        <w:t xml:space="preserve">Office of the Australian Information Commissioner (OAIC): </w:t>
      </w:r>
      <w:r>
        <w:t>Australian Privacy Principles and APP Guidelines, including requirements relating to collection, use, disclosure, quality and security of personal information.</w:t>
      </w:r>
    </w:p>
    <w:p>
      <w:r>
        <w:rPr>
          <w:b/>
        </w:rPr>
        <w:t xml:space="preserve">Australian Competition and Consumer Commission (ACCC): </w:t>
      </w:r>
      <w:r>
        <w:t>Guidance on false or misleading claims and unfair business practices under the Australian Consumer Law.</w:t>
      </w:r>
    </w:p>
    <w:p>
      <w:r>
        <w:rPr>
          <w:b/>
        </w:rPr>
        <w:t xml:space="preserve">Secret Customer Academy: </w:t>
      </w:r>
      <w:r>
        <w:t>AC-102 Mystery Shopping Fundamentals v2.0 Draft; Project Lighthouse editorial, writing, evidence, publishing and AI optimisation standards.</w:t>
      </w:r>
    </w:p>
    <w:p>
      <w:pPr>
        <w:pStyle w:val="Heading1"/>
      </w:pPr>
      <w:r>
        <w:t>About Secret Customer</w:t>
      </w:r>
    </w:p>
    <w:p>
      <w:r>
        <w:t>Secret Customer Australia helps organisations understand and improve customer experiences through mystery shopping, customer journey assessment, performance reporting and practical improvement advice. The Secret Customer Academy translates professional methodology into clear public guidance for business leaders, managers and practitioners.</w:t>
      </w:r>
    </w:p>
    <w:p>
      <w:pPr>
        <w:pStyle w:val="Heading2"/>
      </w:pPr>
      <w:r>
        <w:t>Publication details</w:t>
      </w:r>
    </w:p>
    <w:tbl>
      <w:tblPr>
        <w:tblW w:type="auto" w:w="0"/>
        <w:jc w:val="center"/>
        <w:tblLayout w:type="fixed"/>
        <w:tblLook w:firstColumn="1" w:firstRow="1" w:lastColumn="0" w:lastRow="0" w:noHBand="0" w:noVBand="1" w:val="04A0"/>
      </w:tblPr>
      <w:tblGrid>
        <w:gridCol w:w="2448"/>
        <w:gridCol w:w="6984"/>
      </w:tblGrid>
      <w:tr>
        <w:tc>
          <w:tcPr>
            <w:tcW w:type="dxa" w:w="4939"/>
            <w:shd w:fill="17365D"/>
            <w:tcMar>
              <w:top w:w="120" w:type="dxa"/>
              <w:start w:w="140" w:type="dxa"/>
              <w:bottom w:w="120" w:type="dxa"/>
              <w:end w:w="140" w:type="dxa"/>
            </w:tcMar>
          </w:tcPr>
          <w:p>
            <w:r>
              <w:rPr>
                <w:b/>
                <w:color w:val="FFFFFF"/>
              </w:rPr>
              <w:t>Document</w:t>
            </w:r>
          </w:p>
        </w:tc>
        <w:tc>
          <w:tcPr>
            <w:tcW w:type="dxa" w:w="4939"/>
            <w:shd w:fill="F3F6F9"/>
            <w:tcMar>
              <w:top w:w="120" w:type="dxa"/>
              <w:start w:w="140" w:type="dxa"/>
              <w:bottom w:w="120" w:type="dxa"/>
              <w:end w:w="140" w:type="dxa"/>
            </w:tcMar>
          </w:tcPr>
          <w:p>
            <w:r>
              <w:t>MG-001</w:t>
            </w:r>
          </w:p>
        </w:tc>
      </w:tr>
      <w:tr>
        <w:tc>
          <w:tcPr>
            <w:tcW w:type="dxa" w:w="4939"/>
            <w:shd w:fill="17365D"/>
            <w:tcMar>
              <w:top w:w="120" w:type="dxa"/>
              <w:start w:w="140" w:type="dxa"/>
              <w:bottom w:w="120" w:type="dxa"/>
              <w:end w:w="140" w:type="dxa"/>
            </w:tcMar>
          </w:tcPr>
          <w:p>
            <w:r>
              <w:rPr>
                <w:b/>
                <w:color w:val="FFFFFF"/>
              </w:rPr>
              <w:t>Title</w:t>
            </w:r>
          </w:p>
        </w:tc>
        <w:tc>
          <w:tcPr>
            <w:tcW w:type="dxa" w:w="4939"/>
            <w:shd w:fill="F3F6F9"/>
            <w:tcMar>
              <w:top w:w="120" w:type="dxa"/>
              <w:start w:w="140" w:type="dxa"/>
              <w:bottom w:w="120" w:type="dxa"/>
              <w:end w:w="140" w:type="dxa"/>
            </w:tcMar>
          </w:tcPr>
          <w:p>
            <w:r>
              <w:t>What is Mystery Shopping?</w:t>
            </w:r>
          </w:p>
        </w:tc>
      </w:tr>
      <w:tr>
        <w:tc>
          <w:tcPr>
            <w:tcW w:type="dxa" w:w="4939"/>
            <w:shd w:fill="17365D"/>
            <w:tcMar>
              <w:top w:w="120" w:type="dxa"/>
              <w:start w:w="140" w:type="dxa"/>
              <w:bottom w:w="120" w:type="dxa"/>
              <w:end w:w="140" w:type="dxa"/>
            </w:tcMar>
          </w:tcPr>
          <w:p>
            <w:r>
              <w:rPr>
                <w:b/>
                <w:color w:val="FFFFFF"/>
              </w:rPr>
              <w:t>Version</w:t>
            </w:r>
          </w:p>
        </w:tc>
        <w:tc>
          <w:tcPr>
            <w:tcW w:type="dxa" w:w="4939"/>
            <w:shd w:fill="F3F6F9"/>
            <w:tcMar>
              <w:top w:w="120" w:type="dxa"/>
              <w:start w:w="140" w:type="dxa"/>
              <w:bottom w:w="120" w:type="dxa"/>
              <w:end w:w="140" w:type="dxa"/>
            </w:tcMar>
          </w:tcPr>
          <w:p>
            <w:r>
              <w:t>1.0 Approved</w:t>
            </w:r>
          </w:p>
        </w:tc>
      </w:tr>
      <w:tr>
        <w:tc>
          <w:tcPr>
            <w:tcW w:type="dxa" w:w="4939"/>
            <w:shd w:fill="17365D"/>
            <w:tcMar>
              <w:top w:w="120" w:type="dxa"/>
              <w:start w:w="140" w:type="dxa"/>
              <w:bottom w:w="120" w:type="dxa"/>
              <w:end w:w="140" w:type="dxa"/>
            </w:tcMar>
          </w:tcPr>
          <w:p>
            <w:r>
              <w:rPr>
                <w:b/>
                <w:color w:val="FFFFFF"/>
              </w:rPr>
              <w:t>Review cycle</w:t>
            </w:r>
          </w:p>
        </w:tc>
        <w:tc>
          <w:tcPr>
            <w:tcW w:type="dxa" w:w="4939"/>
            <w:shd w:fill="F3F6F9"/>
            <w:tcMar>
              <w:top w:w="120" w:type="dxa"/>
              <w:start w:w="140" w:type="dxa"/>
              <w:bottom w:w="120" w:type="dxa"/>
              <w:end w:w="140" w:type="dxa"/>
            </w:tcMar>
          </w:tcPr>
          <w:p>
            <w:r>
              <w:t>Annual, or earlier following material legal, regulatory or industry change</w:t>
            </w:r>
          </w:p>
        </w:tc>
      </w:tr>
      <w:tr>
        <w:tc>
          <w:tcPr>
            <w:tcW w:type="dxa" w:w="4939"/>
            <w:shd w:fill="17365D"/>
            <w:tcMar>
              <w:top w:w="120" w:type="dxa"/>
              <w:start w:w="140" w:type="dxa"/>
              <w:bottom w:w="120" w:type="dxa"/>
              <w:end w:w="140" w:type="dxa"/>
            </w:tcMar>
          </w:tcPr>
          <w:p>
            <w:r>
              <w:rPr>
                <w:b/>
                <w:color w:val="FFFFFF"/>
              </w:rPr>
              <w:t>Copyright</w:t>
            </w:r>
          </w:p>
        </w:tc>
        <w:tc>
          <w:tcPr>
            <w:tcW w:type="dxa" w:w="4939"/>
            <w:shd w:fill="F3F6F9"/>
            <w:tcMar>
              <w:top w:w="120" w:type="dxa"/>
              <w:start w:w="140" w:type="dxa"/>
              <w:bottom w:w="120" w:type="dxa"/>
              <w:end w:w="140" w:type="dxa"/>
            </w:tcMar>
          </w:tcPr>
          <w:p>
            <w:r>
              <w:t>© 2026 Secret Customer Australia. All rights reserved.</w:t>
            </w:r>
          </w:p>
        </w:tc>
      </w:tr>
    </w:tbl>
    <w:sectPr w:rsidR="00FC693F" w:rsidRPr="0006063C" w:rsidSect="00034616">
      <w:headerReference w:type="default" r:id="rId9"/>
      <w:footerReference w:type="default" r:id="rId10"/>
      <w:pgSz w:w="12240" w:h="15840"/>
      <w:pgMar w:top="1037" w:right="1181" w:bottom="979"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Text"/>
      <w:jc w:val="right"/>
    </w:pPr>
    <w:r>
      <w:t xml:space="preserve">Secret Customer Australia  |  Public Knowledge Library  |  </w:t>
    </w:r>
    <w: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Text"/>
      <w:jc w:val="right"/>
    </w:pPr>
    <w:r>
      <w:t>SECRET CUSTOMER ACADEMY  |  MASTER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1F29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7365D"/>
      <w:sz w:val="40"/>
      <w:szCs w:val="28"/>
    </w:rPr>
  </w:style>
  <w:style w:type="paragraph" w:styleId="Heading2">
    <w:name w:val="heading 2"/>
    <w:basedOn w:val="Normal"/>
    <w:next w:val="Normal"/>
    <w:link w:val="Heading2Char"/>
    <w:uiPriority w:val="9"/>
    <w:unhideWhenUsed/>
    <w:qFormat/>
    <w:rsid w:val="00FC693F"/>
    <w:pPr>
      <w:keepNext/>
      <w:keepLines/>
      <w:spacing w:before="140" w:after="100"/>
      <w:outlineLvl w:val="1"/>
    </w:pPr>
    <w:rPr>
      <w:rFonts w:asciiTheme="majorHAnsi" w:eastAsiaTheme="majorEastAsia" w:hAnsiTheme="majorHAnsi" w:cstheme="majorBidi" w:ascii="Aptos Display" w:hAnsi="Aptos Display"/>
      <w:b/>
      <w:bCs/>
      <w:color w:val="2F75B5"/>
      <w:sz w:val="28"/>
      <w:szCs w:val="26"/>
    </w:rPr>
  </w:style>
  <w:style w:type="paragraph" w:styleId="Heading3">
    <w:name w:val="heading 3"/>
    <w:basedOn w:val="Normal"/>
    <w:next w:val="Normal"/>
    <w:link w:val="Heading3Char"/>
    <w:uiPriority w:val="9"/>
    <w:unhideWhenUsed/>
    <w:qFormat/>
    <w:rsid w:val="00FC693F"/>
    <w:pPr>
      <w:keepNext/>
      <w:keepLines/>
      <w:spacing w:before="100" w:after="100"/>
      <w:outlineLvl w:val="2"/>
    </w:pPr>
    <w:rPr>
      <w:rFonts w:asciiTheme="majorHAnsi" w:eastAsiaTheme="majorEastAsia" w:hAnsiTheme="majorHAnsi" w:cstheme="majorBidi" w:ascii="Aptos" w:hAnsi="Aptos"/>
      <w:b/>
      <w:bCs/>
      <w:color w:val="1F7A8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240"/>
      <w:contextualSpacing/>
    </w:pPr>
    <w:rPr>
      <w:rFonts w:asciiTheme="majorHAnsi" w:eastAsiaTheme="majorEastAsia" w:hAnsiTheme="majorHAnsi" w:cstheme="majorBidi" w:ascii="Aptos Display" w:hAnsi="Aptos Display"/>
      <w:b/>
      <w:color w:val="17365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 Text"/>
    <w:rPr>
      <w:rFonts w:ascii="Aptos" w:hAnsi="Aptos"/>
      <w:color w:val="5B6573"/>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A5D77F5DE8A84428F1991D5CA913462" ma:contentTypeVersion="15" ma:contentTypeDescription="Create a new document." ma:contentTypeScope="" ma:versionID="ec74ff9c47dbaa0fa6eebc24b3710efb">
  <xsd:schema xmlns:xsd="http://www.w3.org/2001/XMLSchema" xmlns:xs="http://www.w3.org/2001/XMLSchema" xmlns:p="http://schemas.microsoft.com/office/2006/metadata/properties" xmlns:ns2="9f115bfb-8a46-43ca-95d8-6caacde8a25d" xmlns:ns3="8d9d78b8-457b-42db-bd8b-245dda697b14" targetNamespace="http://schemas.microsoft.com/office/2006/metadata/properties" ma:root="true" ma:fieldsID="6c49eb6393b73a10f44938ab7b5d6d53" ns2:_="" ns3:_="">
    <xsd:import namespace="9f115bfb-8a46-43ca-95d8-6caacde8a25d"/>
    <xsd:import namespace="8d9d78b8-457b-42db-bd8b-245dda697b1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15bfb-8a46-43ca-95d8-6caacde8a2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d08b42c-dadf-4646-b842-17f983f17a01}" ma:internalName="TaxCatchAll" ma:showField="CatchAllData" ma:web="9f115bfb-8a46-43ca-95d8-6caacde8a2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9d78b8-457b-42db-bd8b-245dda697b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54494c2-9c3e-4e21-987e-23e4855bae9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9d78b8-457b-42db-bd8b-245dda697b14">
      <Terms xmlns="http://schemas.microsoft.com/office/infopath/2007/PartnerControls"/>
    </lcf76f155ced4ddcb4097134ff3c332f>
    <TaxCatchAll xmlns="9f115bfb-8a46-43ca-95d8-6caacde8a25d"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194AD43-506A-43C2-A5A0-DE9A07A063AD}"/>
</file>

<file path=customXml/itemProps3.xml><?xml version="1.0" encoding="utf-8"?>
<ds:datastoreItem xmlns:ds="http://schemas.openxmlformats.org/officeDocument/2006/customXml" ds:itemID="{D0801523-69E3-4F7E-B362-F5E656066679}"/>
</file>

<file path=customXml/itemProps4.xml><?xml version="1.0" encoding="utf-8"?>
<ds:datastoreItem xmlns:ds="http://schemas.openxmlformats.org/officeDocument/2006/customXml" ds:itemID="{1B5D7AB3-75A7-4E97-AD78-6606FC942201}"/>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0x010100AA5D77F5DE8A84428F1991D5CA913462</vt:lpwstr>
  </property>
</Properties>
</file>